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5DA34" w14:textId="77777777" w:rsidR="00DB47DA" w:rsidRDefault="00215AF3" w:rsidP="00E33F32">
      <w:pPr>
        <w:pStyle w:val="Titul1"/>
      </w:pPr>
      <w:bookmarkStart w:id="0" w:name="_GoBack"/>
      <w:bookmarkEnd w:id="0"/>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7FAE4DFE" w:rsidR="00B172EC" w:rsidRPr="0017695A" w:rsidRDefault="00E01C32" w:rsidP="00352421">
          <w:pPr>
            <w:pStyle w:val="Titul2"/>
          </w:pPr>
          <w:r w:rsidRPr="00E01C32" w:rsidDel="00F772C6">
            <w:rPr>
              <w:rStyle w:val="Nzevakce"/>
              <w:b/>
            </w:rPr>
            <w:t>„</w:t>
          </w:r>
          <w:r w:rsidRPr="00E01C32">
            <w:rPr>
              <w:rStyle w:val="Nzevakce"/>
              <w:b/>
            </w:rPr>
            <w:t xml:space="preserve">Implementace ETCS </w:t>
          </w:r>
          <w:proofErr w:type="spellStart"/>
          <w:r w:rsidRPr="00E01C32">
            <w:rPr>
              <w:rStyle w:val="Nzevakce"/>
              <w:b/>
            </w:rPr>
            <w:t>Regional</w:t>
          </w:r>
          <w:proofErr w:type="spellEnd"/>
          <w:r w:rsidRPr="00E01C32">
            <w:rPr>
              <w:rStyle w:val="Nzevakce"/>
              <w:b/>
            </w:rPr>
            <w:t xml:space="preserve"> </w:t>
          </w:r>
          <w:proofErr w:type="gramStart"/>
          <w:r w:rsidRPr="00E01C32">
            <w:rPr>
              <w:rStyle w:val="Nzevakce"/>
              <w:b/>
            </w:rPr>
            <w:t>Choceň - Litomyšl</w:t>
          </w:r>
          <w:proofErr w:type="gramEnd"/>
          <w:r w:rsidRPr="00E01C32" w:rsidDel="00F772C6">
            <w:rPr>
              <w:rStyle w:val="Nzevakce"/>
              <w:b/>
            </w:rPr>
            <w:t>“</w:t>
          </w:r>
          <w:r w:rsidRPr="00E01C32" w:rsidDel="00F772C6">
            <w:rPr>
              <w:rStyle w:val="Nzevakce"/>
              <w:b/>
            </w:rPr>
            <w:br/>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3090DF6F" w14:textId="54E86CD9" w:rsidR="00E01C32" w:rsidRDefault="00E01C32" w:rsidP="00E01C32">
      <w:pPr>
        <w:pStyle w:val="Textbezodsazen"/>
      </w:pPr>
      <w:bookmarkStart w:id="1" w:name="_Hlk158878474"/>
      <w:r>
        <w:t>Tomáš Vybíral</w:t>
      </w:r>
      <w:r w:rsidRPr="00E900CF">
        <w:t xml:space="preserve">, </w:t>
      </w:r>
      <w:r w:rsidRPr="00E900CF">
        <w:rPr>
          <w:rFonts w:ascii="Verdana" w:hAnsi="Verdana"/>
        </w:rPr>
        <w:t xml:space="preserve">e-mail: </w:t>
      </w:r>
      <w:r>
        <w:rPr>
          <w:rFonts w:ascii="Verdana" w:hAnsi="Verdana"/>
          <w:noProof/>
          <w:color w:val="0563C1" w:themeColor="hyperlink"/>
          <w:u w:val="single"/>
        </w:rPr>
        <w:t>VybiralT</w:t>
      </w:r>
      <w:r w:rsidRPr="008C2121">
        <w:rPr>
          <w:rFonts w:ascii="Verdana" w:hAnsi="Verdana"/>
          <w:noProof/>
          <w:color w:val="0563C1" w:themeColor="hyperlink"/>
          <w:u w:val="single"/>
        </w:rPr>
        <w:t>@spravazeleznic.cz</w:t>
      </w:r>
      <w:r w:rsidRPr="00624C6F">
        <w:rPr>
          <w:rFonts w:ascii="Verdana" w:hAnsi="Verdana"/>
          <w:noProof/>
          <w:color w:val="0563C1" w:themeColor="hyperlink"/>
          <w:u w:val="single"/>
        </w:rPr>
        <w:t>,</w:t>
      </w:r>
      <w:r w:rsidRPr="00624C6F">
        <w:rPr>
          <w:rFonts w:ascii="Verdana" w:hAnsi="Verdana"/>
        </w:rPr>
        <w:t xml:space="preserve"> tel.: +420</w:t>
      </w:r>
      <w:r>
        <w:rPr>
          <w:rFonts w:ascii="Verdana" w:hAnsi="Verdana"/>
        </w:rPr>
        <w:t> 702 270 236</w:t>
      </w:r>
    </w:p>
    <w:bookmarkEnd w:id="1"/>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CA17E8B" w14:textId="4A3F93B3" w:rsidR="002D7BD2" w:rsidRDefault="002D7BD2" w:rsidP="002D7BD2">
      <w:pPr>
        <w:pStyle w:val="PNTextzkladn"/>
      </w:pPr>
      <w:bookmarkStart w:id="2" w:name="_Hlk135650157"/>
      <w:r>
        <w:t xml:space="preserve">Faktury budou vystavené v souladu s Právními předpisy. </w:t>
      </w:r>
      <w:bookmarkStart w:id="3" w:name="_Hlk135650207"/>
      <w:bookmarkEnd w:id="2"/>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lastRenderedPageBreak/>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3"/>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7777777"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77777777" w:rsidR="002D7BD2" w:rsidRPr="001C7156"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77777777" w:rsidR="002D7BD2" w:rsidRDefault="002D7BD2" w:rsidP="002D7BD2">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556" w:type="dxa"/>
        <w:tblLook w:val="04E0" w:firstRow="1" w:lastRow="1" w:firstColumn="1" w:lastColumn="0" w:noHBand="0" w:noVBand="1"/>
      </w:tblPr>
      <w:tblGrid>
        <w:gridCol w:w="1134"/>
        <w:gridCol w:w="4570"/>
        <w:gridCol w:w="2852"/>
      </w:tblGrid>
      <w:tr w:rsidR="00D2447D" w:rsidRPr="005D168C" w14:paraId="53FA8F31" w14:textId="77777777" w:rsidTr="00D244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vAlign w:val="center"/>
          </w:tcPr>
          <w:p w14:paraId="70463115" w14:textId="1D36BACE" w:rsidR="00D2447D" w:rsidRPr="005D168C" w:rsidRDefault="00D2447D" w:rsidP="00D2447D">
            <w:pPr>
              <w:pStyle w:val="Tabulka"/>
              <w:rPr>
                <w:b/>
              </w:rPr>
            </w:pPr>
            <w:r w:rsidRPr="00F3776D">
              <w:rPr>
                <w:b/>
              </w:rPr>
              <w:t>Sekce</w:t>
            </w:r>
          </w:p>
        </w:tc>
        <w:tc>
          <w:tcPr>
            <w:tcW w:w="4570" w:type="dxa"/>
            <w:vAlign w:val="center"/>
          </w:tcPr>
          <w:p w14:paraId="4FD5D4DC" w14:textId="57A92F1A" w:rsidR="00D2447D" w:rsidRPr="005D168C" w:rsidRDefault="00D2447D" w:rsidP="00D2447D">
            <w:pPr>
              <w:pStyle w:val="Tabulka"/>
              <w:cnfStyle w:val="100000000000" w:firstRow="1" w:lastRow="0" w:firstColumn="0" w:lastColumn="0" w:oddVBand="0" w:evenVBand="0" w:oddHBand="0" w:evenHBand="0" w:firstRowFirstColumn="0" w:firstRowLastColumn="0" w:lastRowFirstColumn="0" w:lastRowLastColumn="0"/>
              <w:rPr>
                <w:b/>
              </w:rPr>
            </w:pPr>
            <w:r w:rsidRPr="00F3776D">
              <w:rPr>
                <w:b/>
              </w:rPr>
              <w:t>Činnosti</w:t>
            </w:r>
          </w:p>
        </w:tc>
        <w:tc>
          <w:tcPr>
            <w:tcW w:w="2852" w:type="dxa"/>
            <w:vAlign w:val="center"/>
          </w:tcPr>
          <w:p w14:paraId="00FFE2B9" w14:textId="38BCAFF1" w:rsidR="00D2447D" w:rsidRPr="005D168C" w:rsidRDefault="00D2447D" w:rsidP="00D2447D">
            <w:pPr>
              <w:pStyle w:val="Tabulka"/>
              <w:cnfStyle w:val="100000000000" w:firstRow="1" w:lastRow="0" w:firstColumn="0" w:lastColumn="0" w:oddVBand="0" w:evenVBand="0" w:oddHBand="0" w:evenHBand="0" w:firstRowFirstColumn="0" w:firstRowLastColumn="0" w:lastRowFirstColumn="0" w:lastRowLastColumn="0"/>
              <w:rPr>
                <w:b/>
              </w:rPr>
            </w:pPr>
            <w:r w:rsidRPr="00F3776D">
              <w:rPr>
                <w:b/>
              </w:rPr>
              <w:t>Doba pro dokončení</w:t>
            </w:r>
          </w:p>
        </w:tc>
      </w:tr>
      <w:tr w:rsidR="00D2447D" w14:paraId="6D94CF87" w14:textId="77777777" w:rsidTr="00D2447D">
        <w:tc>
          <w:tcPr>
            <w:cnfStyle w:val="001000000000" w:firstRow="0" w:lastRow="0" w:firstColumn="1" w:lastColumn="0" w:oddVBand="0" w:evenVBand="0" w:oddHBand="0" w:evenHBand="0" w:firstRowFirstColumn="0" w:firstRowLastColumn="0" w:lastRowFirstColumn="0" w:lastRowLastColumn="0"/>
            <w:tcW w:w="1134" w:type="dxa"/>
            <w:shd w:val="clear" w:color="auto" w:fill="auto"/>
            <w:vAlign w:val="center"/>
          </w:tcPr>
          <w:p w14:paraId="47CF0E33" w14:textId="39B68E5D" w:rsidR="00D2447D" w:rsidRPr="00E41EEA" w:rsidRDefault="00D2447D" w:rsidP="00D2447D">
            <w:pPr>
              <w:pStyle w:val="Tabulka"/>
              <w:rPr>
                <w:highlight w:val="green"/>
              </w:rPr>
            </w:pPr>
            <w:r w:rsidRPr="00F3776D">
              <w:t>Sekce 1 (projekční část)</w:t>
            </w:r>
          </w:p>
        </w:tc>
        <w:tc>
          <w:tcPr>
            <w:tcW w:w="4570" w:type="dxa"/>
            <w:shd w:val="clear" w:color="auto" w:fill="auto"/>
            <w:vAlign w:val="center"/>
          </w:tcPr>
          <w:p w14:paraId="6D608886" w14:textId="2B804926" w:rsidR="00D2447D" w:rsidRPr="00E41EEA" w:rsidRDefault="00D2447D" w:rsidP="00D244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776D">
              <w:t>Zhotovení Dokumentace DUSP+PDPS a nabytí právní moci povolení záměru či jiného dokladu opravňujícího k zahájení zhotovení stavby</w:t>
            </w:r>
          </w:p>
        </w:tc>
        <w:tc>
          <w:tcPr>
            <w:tcW w:w="2852" w:type="dxa"/>
            <w:shd w:val="clear" w:color="auto" w:fill="auto"/>
            <w:vAlign w:val="center"/>
          </w:tcPr>
          <w:p w14:paraId="7CDF15F3" w14:textId="0214AA4E" w:rsidR="00D2447D" w:rsidRPr="00E41EEA" w:rsidRDefault="00D2447D" w:rsidP="00D2447D">
            <w:pPr>
              <w:pStyle w:val="Tabulka"/>
              <w:cnfStyle w:val="000000000000" w:firstRow="0" w:lastRow="0" w:firstColumn="0" w:lastColumn="0" w:oddVBand="0" w:evenVBand="0" w:oddHBand="0" w:evenHBand="0" w:firstRowFirstColumn="0" w:firstRowLastColumn="0" w:lastRowFirstColumn="0" w:lastRowLastColumn="0"/>
              <w:rPr>
                <w:highlight w:val="green"/>
              </w:rPr>
            </w:pPr>
            <w:r>
              <w:t>13</w:t>
            </w:r>
            <w:r w:rsidRPr="00F3776D">
              <w:t xml:space="preserve"> měsíců od Data zahájení prací (předpokládané zahájení </w:t>
            </w:r>
            <w:r>
              <w:t>1</w:t>
            </w:r>
            <w:r w:rsidRPr="00F3776D">
              <w:t>/202</w:t>
            </w:r>
            <w:r>
              <w:t>5</w:t>
            </w:r>
            <w:r w:rsidRPr="00F3776D">
              <w:t>)</w:t>
            </w:r>
          </w:p>
        </w:tc>
      </w:tr>
      <w:tr w:rsidR="00D2447D" w14:paraId="000B739E" w14:textId="77777777" w:rsidTr="00D2447D">
        <w:tc>
          <w:tcPr>
            <w:cnfStyle w:val="001000000000" w:firstRow="0" w:lastRow="0" w:firstColumn="1" w:lastColumn="0" w:oddVBand="0" w:evenVBand="0" w:oddHBand="0" w:evenHBand="0" w:firstRowFirstColumn="0" w:firstRowLastColumn="0" w:lastRowFirstColumn="0" w:lastRowLastColumn="0"/>
            <w:tcW w:w="1134" w:type="dxa"/>
            <w:shd w:val="clear" w:color="auto" w:fill="auto"/>
            <w:vAlign w:val="center"/>
          </w:tcPr>
          <w:p w14:paraId="3B5A554A" w14:textId="6DD61CF8" w:rsidR="00D2447D" w:rsidRPr="00E41EEA" w:rsidRDefault="00D2447D" w:rsidP="00D2447D">
            <w:pPr>
              <w:pStyle w:val="Tabulka"/>
              <w:rPr>
                <w:highlight w:val="green"/>
              </w:rPr>
            </w:pPr>
            <w:r w:rsidRPr="00F3776D">
              <w:t>Sekce 2 (stavební část)</w:t>
            </w:r>
          </w:p>
        </w:tc>
        <w:tc>
          <w:tcPr>
            <w:tcW w:w="4570" w:type="dxa"/>
            <w:shd w:val="clear" w:color="auto" w:fill="auto"/>
            <w:vAlign w:val="center"/>
          </w:tcPr>
          <w:p w14:paraId="1386CC8E" w14:textId="4A223D7F" w:rsidR="00D2447D" w:rsidRPr="00E41EEA" w:rsidRDefault="00D2447D" w:rsidP="00D244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776D">
              <w:t xml:space="preserve">Zhotovení stavby včetně uvedení všech SO a PS do Zkušebního provozu, kromě položek objektu SO 98-98 Všeobecný objekt, které budou provedeny až po dokončení Sekce 2 </w:t>
            </w:r>
          </w:p>
        </w:tc>
        <w:tc>
          <w:tcPr>
            <w:tcW w:w="2852" w:type="dxa"/>
            <w:shd w:val="clear" w:color="auto" w:fill="auto"/>
            <w:vAlign w:val="center"/>
          </w:tcPr>
          <w:p w14:paraId="109141AD" w14:textId="0B2A562A" w:rsidR="00D2447D" w:rsidRPr="00E41EEA" w:rsidRDefault="00D2447D" w:rsidP="00D2447D">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8 měsíců </w:t>
            </w:r>
            <w:r w:rsidR="00B213B3" w:rsidRPr="00B213B3">
              <w:t>od ukončení Sekce 1</w:t>
            </w:r>
          </w:p>
        </w:tc>
      </w:tr>
      <w:tr w:rsidR="00D2447D" w:rsidRPr="00D2447D" w14:paraId="4FF743A4" w14:textId="77777777" w:rsidTr="00D2447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shd w:val="clear" w:color="auto" w:fill="auto"/>
            <w:vAlign w:val="center"/>
          </w:tcPr>
          <w:p w14:paraId="720CE945" w14:textId="35F3FE4B" w:rsidR="00D2447D" w:rsidRPr="00D2447D" w:rsidRDefault="00D2447D" w:rsidP="00D2447D">
            <w:pPr>
              <w:pStyle w:val="Tabulka"/>
              <w:rPr>
                <w:b w:val="0"/>
              </w:rPr>
            </w:pPr>
            <w:r w:rsidRPr="00D2447D">
              <w:rPr>
                <w:b w:val="0"/>
              </w:rPr>
              <w:t>Dokončení díla</w:t>
            </w:r>
          </w:p>
        </w:tc>
        <w:tc>
          <w:tcPr>
            <w:tcW w:w="4570" w:type="dxa"/>
            <w:shd w:val="clear" w:color="auto" w:fill="auto"/>
            <w:vAlign w:val="center"/>
          </w:tcPr>
          <w:p w14:paraId="745DF0BA" w14:textId="6C6F5E0F" w:rsidR="00D2447D" w:rsidRPr="00D2447D" w:rsidRDefault="00D2447D" w:rsidP="00D2447D">
            <w:pPr>
              <w:pStyle w:val="Tabulka"/>
              <w:cnfStyle w:val="010000000000" w:firstRow="0" w:lastRow="1" w:firstColumn="0" w:lastColumn="0" w:oddVBand="0" w:evenVBand="0" w:oddHBand="0" w:evenHBand="0" w:firstRowFirstColumn="0" w:firstRowLastColumn="0" w:lastRowFirstColumn="0" w:lastRowLastColumn="0"/>
              <w:rPr>
                <w:b w:val="0"/>
              </w:rPr>
            </w:pPr>
            <w:r w:rsidRPr="00D2447D">
              <w:rPr>
                <w:b w:val="0"/>
              </w:rPr>
              <w:t xml:space="preserve">Položky z objektu SO 98-98, které nebyly provedeny v Sekci 2 Stavební </w:t>
            </w:r>
          </w:p>
        </w:tc>
        <w:tc>
          <w:tcPr>
            <w:tcW w:w="2852" w:type="dxa"/>
            <w:shd w:val="clear" w:color="auto" w:fill="auto"/>
            <w:vAlign w:val="center"/>
          </w:tcPr>
          <w:p w14:paraId="5100BCD5" w14:textId="2BFB41CD" w:rsidR="00D2447D" w:rsidRPr="00D2447D" w:rsidRDefault="00D2447D" w:rsidP="00D2447D">
            <w:pPr>
              <w:pStyle w:val="Tabulka"/>
              <w:cnfStyle w:val="010000000000" w:firstRow="0" w:lastRow="1" w:firstColumn="0" w:lastColumn="0" w:oddVBand="0" w:evenVBand="0" w:oddHBand="0" w:evenHBand="0" w:firstRowFirstColumn="0" w:firstRowLastColumn="0" w:lastRowFirstColumn="0" w:lastRowLastColumn="0"/>
              <w:rPr>
                <w:b w:val="0"/>
              </w:rPr>
            </w:pPr>
            <w:r w:rsidRPr="00D2447D">
              <w:rPr>
                <w:b w:val="0"/>
              </w:rPr>
              <w:t xml:space="preserve">6 měsíců ode dne vydání Potvrzení o převzetí Sekce 2 </w:t>
            </w:r>
          </w:p>
        </w:tc>
      </w:tr>
    </w:tbl>
    <w:p w14:paraId="29A6C55F" w14:textId="56F78476" w:rsidR="00C96E7C" w:rsidRDefault="00C96E7C" w:rsidP="00D2447D">
      <w:pPr>
        <w:pStyle w:val="Nadpisbezsl1-2"/>
        <w:ind w:left="0" w:firstLine="0"/>
      </w:pPr>
      <w:r>
        <w:lastRenderedPageBreak/>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025F79">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303D3C6D" w:rsidR="00C96E7C" w:rsidRDefault="00C96E7C" w:rsidP="005D168C">
      <w:pPr>
        <w:pStyle w:val="Textbezodsazen"/>
      </w:pPr>
      <w:r>
        <w:t xml:space="preserve">Přístup na Staveniště bude Zhotoviteli umožněn od </w:t>
      </w:r>
      <w:r w:rsidR="001D5DC4" w:rsidRPr="001D5DC4">
        <w:t xml:space="preserve">data zahájení prací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30FD299D" w14:textId="77777777" w:rsidR="00F9577D" w:rsidRDefault="005841B5" w:rsidP="00F9577D">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2CF037B6" w14:textId="03DF311D" w:rsidR="00F9577D" w:rsidRPr="00F9577D" w:rsidRDefault="00F9577D" w:rsidP="00F9577D">
      <w:pPr>
        <w:numPr>
          <w:ilvl w:val="0"/>
          <w:numId w:val="56"/>
        </w:numPr>
        <w:spacing w:after="120" w:line="276" w:lineRule="auto"/>
        <w:ind w:left="567"/>
        <w:contextualSpacing/>
        <w:rPr>
          <w:rFonts w:ascii="Verdana" w:hAnsi="Verdana"/>
        </w:rPr>
      </w:pPr>
      <w:r w:rsidRPr="00F9577D">
        <w:rPr>
          <w:rFonts w:ascii="Verdana" w:hAnsi="Verdana"/>
        </w:rPr>
        <w:lastRenderedPageBreak/>
        <w:t xml:space="preserve">Mgr. Lucie Zapletalová, e-mail: </w:t>
      </w:r>
      <w:hyperlink r:id="rId12" w:history="1">
        <w:r w:rsidRPr="00F9577D">
          <w:rPr>
            <w:rFonts w:ascii="Verdana" w:hAnsi="Verdana"/>
            <w:noProof/>
            <w:color w:val="0563C1" w:themeColor="hyperlink"/>
            <w:u w:val="single"/>
          </w:rPr>
          <w:t>ZapletalovaL@spravazeleznic.cz</w:t>
        </w:r>
      </w:hyperlink>
      <w:r w:rsidRPr="00F9577D">
        <w:rPr>
          <w:rFonts w:ascii="Verdana" w:hAnsi="Verdana"/>
        </w:rPr>
        <w:t xml:space="preserve"> , tel.: +420 720 051</w:t>
      </w:r>
      <w:r>
        <w:rPr>
          <w:rFonts w:ascii="Verdana" w:hAnsi="Verdana"/>
        </w:rPr>
        <w:t> </w:t>
      </w:r>
      <w:r w:rsidRPr="00F9577D">
        <w:rPr>
          <w:rFonts w:ascii="Verdana" w:hAnsi="Verdana"/>
        </w:rPr>
        <w:t>460</w:t>
      </w:r>
    </w:p>
    <w:p w14:paraId="558B921F" w14:textId="77777777" w:rsidR="00F9577D" w:rsidRDefault="00F9577D" w:rsidP="00F9577D">
      <w:pPr>
        <w:spacing w:after="0"/>
        <w:ind w:left="567"/>
        <w:jc w:val="both"/>
        <w:rPr>
          <w:rFonts w:ascii="Verdana" w:hAnsi="Verdana"/>
        </w:rPr>
      </w:pPr>
    </w:p>
    <w:p w14:paraId="19F48CB3" w14:textId="246BC5AF" w:rsidR="00F9577D" w:rsidRPr="0096452A" w:rsidRDefault="00F9577D" w:rsidP="00F9577D">
      <w:pPr>
        <w:spacing w:after="120"/>
        <w:ind w:left="567"/>
        <w:jc w:val="both"/>
        <w:rPr>
          <w:rFonts w:ascii="Verdana" w:hAnsi="Verdana"/>
        </w:rPr>
      </w:pPr>
      <w:r w:rsidRPr="0096452A">
        <w:rPr>
          <w:rFonts w:ascii="Verdana" w:hAnsi="Verdana"/>
        </w:rPr>
        <w:t>Ve věcech technických:</w:t>
      </w:r>
    </w:p>
    <w:p w14:paraId="396FA17F" w14:textId="0C4A8E66" w:rsidR="00F9577D" w:rsidRDefault="00F9577D" w:rsidP="00F9577D">
      <w:pPr>
        <w:pStyle w:val="Odstavecseseznamem"/>
        <w:numPr>
          <w:ilvl w:val="0"/>
          <w:numId w:val="56"/>
        </w:numPr>
        <w:spacing w:after="120" w:line="276" w:lineRule="auto"/>
        <w:ind w:left="567"/>
        <w:rPr>
          <w:rFonts w:ascii="Verdana" w:hAnsi="Verdana"/>
        </w:rPr>
      </w:pPr>
      <w:r w:rsidRPr="0096452A">
        <w:rPr>
          <w:rFonts w:ascii="Verdana" w:hAnsi="Verdana"/>
        </w:rPr>
        <w:t xml:space="preserve">Ing. </w:t>
      </w:r>
      <w:r>
        <w:rPr>
          <w:rFonts w:ascii="Verdana" w:hAnsi="Verdana"/>
        </w:rPr>
        <w:t>David Veselý</w:t>
      </w:r>
      <w:r w:rsidRPr="0096452A">
        <w:rPr>
          <w:rFonts w:ascii="Verdana" w:hAnsi="Verdana"/>
        </w:rPr>
        <w:t xml:space="preserve">, e-mail: </w:t>
      </w:r>
      <w:hyperlink r:id="rId13" w:history="1">
        <w:r w:rsidRPr="00672685">
          <w:rPr>
            <w:rStyle w:val="Hypertextovodkaz"/>
            <w:rFonts w:ascii="Verdana" w:hAnsi="Verdana"/>
          </w:rPr>
          <w:t>VeselyDa@spravazeleznic.cz</w:t>
        </w:r>
      </w:hyperlink>
      <w:r w:rsidRPr="0096452A">
        <w:rPr>
          <w:rFonts w:ascii="Verdana" w:hAnsi="Verdana"/>
        </w:rPr>
        <w:t xml:space="preserve"> , tel.: +420</w:t>
      </w:r>
      <w:r>
        <w:rPr>
          <w:rFonts w:ascii="Verdana" w:hAnsi="Verdana"/>
        </w:rPr>
        <w:t> 722 113 362</w:t>
      </w:r>
    </w:p>
    <w:p w14:paraId="4EFCB53F" w14:textId="77777777" w:rsidR="00F9577D" w:rsidRPr="00F9577D" w:rsidRDefault="00F9577D" w:rsidP="00F9577D">
      <w:pPr>
        <w:pStyle w:val="Odstavecseseznamem"/>
        <w:spacing w:after="0" w:line="276" w:lineRule="auto"/>
        <w:ind w:left="567"/>
        <w:rPr>
          <w:rFonts w:ascii="Verdana" w:hAnsi="Verdana"/>
        </w:rPr>
      </w:pPr>
    </w:p>
    <w:p w14:paraId="0A9366EC" w14:textId="77777777" w:rsidR="00F9577D" w:rsidRPr="0096452A" w:rsidRDefault="00F9577D" w:rsidP="00F9577D">
      <w:pPr>
        <w:spacing w:after="120"/>
        <w:ind w:left="567"/>
        <w:jc w:val="both"/>
        <w:rPr>
          <w:rFonts w:ascii="Verdana" w:hAnsi="Verdana"/>
        </w:rPr>
      </w:pPr>
      <w:r w:rsidRPr="0096452A">
        <w:rPr>
          <w:rFonts w:ascii="Verdana" w:hAnsi="Verdana"/>
        </w:rPr>
        <w:t>Ve věci kontroly požití alkoholu a/nebo návykových látek:</w:t>
      </w:r>
    </w:p>
    <w:p w14:paraId="58568992" w14:textId="7E63D44C" w:rsidR="00F9577D" w:rsidRPr="0096452A" w:rsidRDefault="00F9577D" w:rsidP="00F9577D">
      <w:pPr>
        <w:pStyle w:val="Odstavecseseznamem"/>
        <w:numPr>
          <w:ilvl w:val="0"/>
          <w:numId w:val="56"/>
        </w:numPr>
        <w:spacing w:after="120"/>
        <w:ind w:left="567"/>
        <w:jc w:val="both"/>
      </w:pPr>
      <w:r w:rsidRPr="00F9577D">
        <w:t xml:space="preserve">Tomáš Vybíral, e-mail: </w:t>
      </w:r>
      <w:r w:rsidRPr="00F9577D">
        <w:rPr>
          <w:rStyle w:val="Hypertextovodkaz"/>
          <w:rFonts w:ascii="Verdana" w:hAnsi="Verdana"/>
        </w:rPr>
        <w:t>VybiralT@spravazeleznic.cz</w:t>
      </w:r>
      <w:r w:rsidRPr="00F9577D">
        <w:t>, tel.: +420 702 270 236</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4FB1DBB5"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lastRenderedPageBreak/>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51ED11B9"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3F9E894B" w:rsidR="00BF5650" w:rsidRPr="00382BD8" w:rsidRDefault="00BF5650" w:rsidP="00BF5650">
      <w:pPr>
        <w:spacing w:after="120"/>
        <w:jc w:val="both"/>
      </w:pPr>
      <w:r w:rsidRPr="00382BD8">
        <w:t xml:space="preserve">Objednatel není povinen uplatnit práva na čerpání ze záruky za provedení Díla. </w:t>
      </w:r>
    </w:p>
    <w:p w14:paraId="514A4546" w14:textId="220F9B49"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lastRenderedPageBreak/>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lastRenderedPageBreak/>
        <w:t>4.4</w:t>
      </w:r>
      <w:r w:rsidR="00671A0C">
        <w:tab/>
      </w:r>
      <w:proofErr w:type="spellStart"/>
      <w:r w:rsidRPr="005B65FC">
        <w:t>Podzhotovitelé</w:t>
      </w:r>
      <w:proofErr w:type="spellEnd"/>
    </w:p>
    <w:p w14:paraId="50A2E61F" w14:textId="70A4FC63" w:rsidR="00181A46" w:rsidRPr="00671A0C" w:rsidRDefault="00181A46" w:rsidP="00671A0C">
      <w:pPr>
        <w:pStyle w:val="Nadpisbezsl1-2"/>
      </w:pPr>
      <w:r w:rsidRPr="00671A0C">
        <w:t>4.4.1</w:t>
      </w:r>
      <w:r w:rsidR="005B65FC" w:rsidRPr="00671A0C">
        <w:t xml:space="preserve"> Plnění </w:t>
      </w:r>
      <w:proofErr w:type="spellStart"/>
      <w:r w:rsidR="005B65FC" w:rsidRPr="00671A0C">
        <w:t>podzhotoviteli</w:t>
      </w:r>
      <w:proofErr w:type="spellEnd"/>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 xml:space="preserve">Nepožaduje se přitom, aby Zhotovitel oznamoval Objednateli jako své </w:t>
      </w:r>
      <w:proofErr w:type="spellStart"/>
      <w:r w:rsidRPr="005B65FC">
        <w:rPr>
          <w:rFonts w:ascii="Verdana" w:hAnsi="Verdana"/>
        </w:rPr>
        <w:t>podzhotovitele</w:t>
      </w:r>
      <w:proofErr w:type="spellEnd"/>
      <w:r w:rsidRPr="005B65FC">
        <w:rPr>
          <w:rFonts w:ascii="Verdana" w:hAnsi="Verdana"/>
        </w:rPr>
        <w:t xml:space="preserv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77777777" w:rsidR="005B65FC" w:rsidRPr="009D228B" w:rsidRDefault="00D05FFD" w:rsidP="009D228B">
      <w:pPr>
        <w:pStyle w:val="Nadpisbezsl1-2"/>
      </w:pPr>
      <w:r w:rsidRPr="009D228B">
        <w:t xml:space="preserve">4.4.4 </w:t>
      </w:r>
      <w:r w:rsidR="005B65FC" w:rsidRPr="009D228B">
        <w:t xml:space="preserve">Odpovědnost za plnění svých </w:t>
      </w:r>
      <w:proofErr w:type="spellStart"/>
      <w:r w:rsidR="005B65FC" w:rsidRPr="009D228B">
        <w:t>Podzhotovitelů</w:t>
      </w:r>
      <w:proofErr w:type="spellEnd"/>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79514C09" w14:textId="77777777" w:rsidR="00DD299A" w:rsidRPr="00DD299A" w:rsidRDefault="00DD299A" w:rsidP="00DD299A">
      <w:pPr>
        <w:spacing w:after="0" w:line="240" w:lineRule="auto"/>
        <w:rPr>
          <w:b/>
          <w:iCs/>
        </w:rPr>
      </w:pPr>
      <w:r w:rsidRPr="00DD299A">
        <w:rPr>
          <w:b/>
          <w:iCs/>
        </w:rPr>
        <w:t>Milník 1</w:t>
      </w:r>
    </w:p>
    <w:p w14:paraId="4571CF88" w14:textId="77777777" w:rsidR="00BD0C3C" w:rsidRDefault="00BD0C3C" w:rsidP="00DD299A">
      <w:pPr>
        <w:spacing w:after="0" w:line="240" w:lineRule="auto"/>
        <w:rPr>
          <w:iCs/>
        </w:rPr>
      </w:pPr>
      <w:r w:rsidRPr="00BD0C3C">
        <w:rPr>
          <w:iCs/>
        </w:rPr>
        <w:t xml:space="preserve">Předložení DUSP + PDPS k připomínkám </w:t>
      </w:r>
    </w:p>
    <w:p w14:paraId="09F7BAA8" w14:textId="43704773" w:rsidR="00DD299A" w:rsidRPr="00DD299A" w:rsidRDefault="00DD299A" w:rsidP="00DD299A">
      <w:pPr>
        <w:spacing w:after="0" w:line="240" w:lineRule="auto"/>
        <w:rPr>
          <w:b/>
          <w:iCs/>
        </w:rPr>
      </w:pPr>
      <w:r w:rsidRPr="00DD299A">
        <w:rPr>
          <w:iCs/>
        </w:rPr>
        <w:t>7 měsíců od Data zahájení prací</w:t>
      </w:r>
    </w:p>
    <w:p w14:paraId="7FC076C6" w14:textId="77777777" w:rsidR="00DD299A" w:rsidRPr="00DD299A" w:rsidRDefault="00DD299A" w:rsidP="00DD299A">
      <w:pPr>
        <w:spacing w:after="0" w:line="240" w:lineRule="auto"/>
        <w:rPr>
          <w:b/>
          <w:iCs/>
        </w:rPr>
      </w:pPr>
      <w:r w:rsidRPr="00DD299A">
        <w:rPr>
          <w:b/>
          <w:iCs/>
        </w:rPr>
        <w:t>Milník 2</w:t>
      </w:r>
    </w:p>
    <w:p w14:paraId="19C40A3E" w14:textId="77777777" w:rsidR="00BD0C3C" w:rsidRDefault="00BD0C3C" w:rsidP="00DD299A">
      <w:pPr>
        <w:spacing w:after="0" w:line="240" w:lineRule="auto"/>
        <w:rPr>
          <w:iCs/>
        </w:rPr>
      </w:pPr>
      <w:r w:rsidRPr="00BD0C3C">
        <w:rPr>
          <w:iCs/>
        </w:rPr>
        <w:t xml:space="preserve">Definitivní odevzdání DUSP+PDPS, včetně podání žádosti o vydání povolení záměru </w:t>
      </w:r>
    </w:p>
    <w:p w14:paraId="3F2402CA" w14:textId="7D3FF5C2" w:rsidR="00DD299A" w:rsidRPr="00DD299A" w:rsidRDefault="00DD299A" w:rsidP="00DD299A">
      <w:pPr>
        <w:spacing w:after="0" w:line="240" w:lineRule="auto"/>
        <w:rPr>
          <w:iCs/>
        </w:rPr>
      </w:pPr>
      <w:r w:rsidRPr="00DD299A">
        <w:rPr>
          <w:iCs/>
        </w:rPr>
        <w:t>10 měsíců od Data zahájení prací</w:t>
      </w:r>
    </w:p>
    <w:p w14:paraId="263C0FA1" w14:textId="77777777" w:rsidR="00DD299A" w:rsidRPr="00DD299A" w:rsidRDefault="00DD299A" w:rsidP="00872369">
      <w:pPr>
        <w:spacing w:after="120"/>
        <w:jc w:val="both"/>
        <w:rPr>
          <w:rFonts w:ascii="Verdana" w:hAnsi="Verdana"/>
        </w:rPr>
      </w:pP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 xml:space="preserve">ROV. Za každou započatou hodinu </w:t>
      </w:r>
      <w:r>
        <w:lastRenderedPageBreak/>
        <w:t>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CC75A1B" w14:textId="12A0D9EE"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712374E6"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E21A1B">
        <w:t>30</w:t>
      </w:r>
      <w:r w:rsidR="009B6B4D">
        <w:t xml:space="preserve"> dn</w:t>
      </w:r>
      <w:r w:rsidR="00E21A1B">
        <w:t>ů</w:t>
      </w:r>
      <w:r w:rsidR="009B6B4D">
        <w:t xml:space="preserve">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606A93F4" w:rsidR="00C96E7C" w:rsidRDefault="00C96E7C" w:rsidP="005D168C">
      <w:pPr>
        <w:pStyle w:val="Textbezodsazen"/>
      </w:pPr>
      <w:r>
        <w:t>Zhotovitel je povinen dokončit celé Dílo včetně příslušné dokumentace dle pod-článku 7.9 do</w:t>
      </w:r>
      <w:r w:rsidR="005D168C">
        <w:t xml:space="preserve"> </w:t>
      </w:r>
      <w:r w:rsidR="00B213B3">
        <w:br/>
      </w:r>
      <w:r w:rsidR="00B213B3" w:rsidRPr="00B213B3">
        <w:rPr>
          <w:b/>
        </w:rPr>
        <w:t>27 měsíců</w:t>
      </w:r>
      <w:r w:rsidR="003825B0" w:rsidRPr="00B213B3">
        <w:rPr>
          <w:b/>
        </w:rPr>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544BA709" w:rsidR="00C96E7C" w:rsidRDefault="00C96E7C" w:rsidP="005D168C">
      <w:pPr>
        <w:pStyle w:val="Textbezodsazen"/>
      </w:pPr>
      <w:r>
        <w:t xml:space="preserve">Zhotovitel je povinen dokončit </w:t>
      </w:r>
      <w:r w:rsidR="00BD0C3C" w:rsidRPr="00BD0C3C">
        <w:t>Sekci 2 Stavební</w:t>
      </w:r>
      <w:r w:rsidR="00582C15">
        <w:t xml:space="preserve"> v </w:t>
      </w:r>
      <w:r>
        <w:t xml:space="preserve">rozsahu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 xml:space="preserve">nejpozději do </w:t>
      </w:r>
      <w:r w:rsidR="00BD0C3C" w:rsidRPr="00BD0C3C">
        <w:rPr>
          <w:b/>
        </w:rPr>
        <w:t>8</w:t>
      </w:r>
      <w:r w:rsidRPr="00BD0C3C">
        <w:rPr>
          <w:b/>
        </w:rPr>
        <w:t xml:space="preserve"> </w:t>
      </w:r>
      <w:r w:rsidRPr="00B213B3">
        <w:rPr>
          <w:b/>
        </w:rPr>
        <w:t>měsíců</w:t>
      </w:r>
      <w:r w:rsidRPr="00B213B3">
        <w:t xml:space="preserve"> </w:t>
      </w:r>
      <w:r w:rsidR="00BD0C3C" w:rsidRPr="00B213B3">
        <w:t xml:space="preserve">od </w:t>
      </w:r>
      <w:r w:rsidR="00E21A1B" w:rsidRPr="00B213B3">
        <w:t>ukončení Sekce 1</w:t>
      </w:r>
      <w:r w:rsidR="008D19E0">
        <w:t xml:space="preserve"> Projekční</w:t>
      </w:r>
      <w:r w:rsidRPr="00B213B3">
        <w:t>.</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lastRenderedPageBreak/>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proofErr w:type="spellStart"/>
      <w:r w:rsidR="00432CCA" w:rsidRPr="004456AB">
        <w:rPr>
          <w:b w:val="0"/>
          <w:sz w:val="18"/>
          <w:szCs w:val="18"/>
        </w:rPr>
        <w:t>uje</w:t>
      </w:r>
      <w:proofErr w:type="spellEnd"/>
      <w:r w:rsidR="00432CCA" w:rsidRPr="004456AB">
        <w:rPr>
          <w:b w:val="0"/>
          <w:sz w:val="18"/>
          <w:szCs w:val="18"/>
        </w:rPr>
        <w:t xml:space="preserv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3CD3571D"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313BCCF4" w:rsidR="00C96E7C" w:rsidRDefault="00C96E7C" w:rsidP="00582C15">
      <w:pPr>
        <w:pStyle w:val="Textbezodsazen"/>
      </w:pPr>
      <w:r>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BD0C3C">
        <w:t xml:space="preserve">rovnající se </w:t>
      </w:r>
      <w:r w:rsidR="00BD0C3C" w:rsidRPr="00BD0C3C">
        <w:t>20</w:t>
      </w:r>
      <w:r w:rsidRPr="00BD0C3C">
        <w:t xml:space="preserve"> %</w:t>
      </w:r>
      <w:r w:rsidR="00BD0C3C" w:rsidRPr="00BD0C3C">
        <w:t xml:space="preserve"> </w:t>
      </w:r>
      <w:r w:rsidRPr="00BD0C3C">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2B1724CA"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w:t>
      </w:r>
      <w:r w:rsidR="00B213B3">
        <w:t> </w:t>
      </w:r>
      <w:r>
        <w:t>průběhu</w:t>
      </w:r>
      <w:r w:rsidR="00B213B3">
        <w:t>,</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7569E599" w14:textId="6BF37B7A" w:rsidR="00A437F1" w:rsidRDefault="00C96E7C" w:rsidP="00A437F1">
      <w:pPr>
        <w:pStyle w:val="Textbezodsazen"/>
      </w:pPr>
      <w:r>
        <w:t xml:space="preserve">Celkový součet požadovaných zálohových plateb nesmí překročit Smluvní cenu. </w:t>
      </w:r>
    </w:p>
    <w:p w14:paraId="7A9A05E8" w14:textId="77777777" w:rsidR="00A437F1" w:rsidRPr="004F531A" w:rsidRDefault="00A437F1" w:rsidP="00A437F1">
      <w:pPr>
        <w:pStyle w:val="Textbezodsazen"/>
        <w:rPr>
          <w:b/>
          <w:sz w:val="20"/>
        </w:rPr>
      </w:pPr>
      <w:r w:rsidRPr="004F531A">
        <w:rPr>
          <w:b/>
          <w:sz w:val="20"/>
        </w:rPr>
        <w:t>14.4 Harmonogram plateb</w:t>
      </w:r>
    </w:p>
    <w:p w14:paraId="01E181B5" w14:textId="77777777" w:rsidR="00A437F1" w:rsidRDefault="00A437F1" w:rsidP="00A437F1">
      <w:pPr>
        <w:pStyle w:val="Textbezodsazen"/>
      </w:pPr>
      <w:r>
        <w:t xml:space="preserve">Za první odstavec Pod-článku 14.4 se doplňuje následující text: </w:t>
      </w:r>
    </w:p>
    <w:p w14:paraId="4339A9F0" w14:textId="77777777" w:rsidR="00A437F1" w:rsidRDefault="00A437F1" w:rsidP="00A437F1">
      <w:pPr>
        <w:pStyle w:val="Textbezodsazen"/>
      </w:pPr>
      <w:r>
        <w:t>Předložený harmonogram plateb musí respektovat splnění Postupných závazných milníků z Pod-článku 4.28 s následující smluvní hodnotou:</w:t>
      </w:r>
    </w:p>
    <w:p w14:paraId="163923F9" w14:textId="77777777" w:rsidR="00A437F1" w:rsidRPr="004F531A" w:rsidRDefault="00A437F1" w:rsidP="00A437F1">
      <w:pPr>
        <w:pStyle w:val="Textbezodsazen"/>
        <w:rPr>
          <w:b/>
        </w:rPr>
      </w:pPr>
      <w:r w:rsidRPr="004F531A">
        <w:rPr>
          <w:b/>
        </w:rPr>
        <w:t>Milník 1</w:t>
      </w:r>
    </w:p>
    <w:p w14:paraId="2B04EC05" w14:textId="4FDF5867" w:rsidR="00A437F1" w:rsidRDefault="00A437F1" w:rsidP="00A437F1">
      <w:pPr>
        <w:pStyle w:val="Textbezodsazen"/>
      </w:pPr>
      <w:proofErr w:type="gramStart"/>
      <w:r>
        <w:t>70%</w:t>
      </w:r>
      <w:proofErr w:type="gramEnd"/>
      <w:r>
        <w:t xml:space="preserve"> z ceny za projektovou dokumentaci DUSP + PDPS</w:t>
      </w:r>
    </w:p>
    <w:p w14:paraId="76DF3D4D" w14:textId="77777777" w:rsidR="00A437F1" w:rsidRPr="004F531A" w:rsidRDefault="00A437F1" w:rsidP="00A437F1">
      <w:pPr>
        <w:pStyle w:val="Textbezodsazen"/>
        <w:rPr>
          <w:b/>
        </w:rPr>
      </w:pPr>
      <w:r w:rsidRPr="004F531A">
        <w:rPr>
          <w:b/>
        </w:rPr>
        <w:t xml:space="preserve">Milník 2 </w:t>
      </w:r>
    </w:p>
    <w:p w14:paraId="2773B126" w14:textId="56FFCD70" w:rsidR="00A437F1" w:rsidRPr="00A437F1" w:rsidRDefault="00A437F1" w:rsidP="00582C15">
      <w:pPr>
        <w:pStyle w:val="Textbezodsazen"/>
        <w:rPr>
          <w:highlight w:val="green"/>
        </w:rPr>
      </w:pPr>
      <w:proofErr w:type="gramStart"/>
      <w:r>
        <w:t>30%</w:t>
      </w:r>
      <w:proofErr w:type="gramEnd"/>
      <w:r>
        <w:t xml:space="preserve"> z ceny za projektovou dokumentaci DUSP + PDPS</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409345DA" w14:textId="5832869D" w:rsidR="00BE7E8D" w:rsidRDefault="00C96E7C" w:rsidP="00BE7E8D">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proofErr w:type="spellStart"/>
      <w:r w:rsidR="00382BD8">
        <w:t>P</w:t>
      </w:r>
      <w:r w:rsidR="0083024A" w:rsidRPr="00025F79">
        <w:t>odzhotoviteli</w:t>
      </w:r>
      <w:proofErr w:type="spellEnd"/>
      <w:r w:rsidR="0083024A" w:rsidRPr="00025F79">
        <w:t>,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lastRenderedPageBreak/>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5FAA8C71"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25D7F" w14:textId="77777777" w:rsidR="00C8140E" w:rsidRDefault="00C8140E" w:rsidP="00962258">
      <w:pPr>
        <w:spacing w:after="0" w:line="240" w:lineRule="auto"/>
      </w:pPr>
      <w:r>
        <w:separator/>
      </w:r>
    </w:p>
  </w:endnote>
  <w:endnote w:type="continuationSeparator" w:id="0">
    <w:p w14:paraId="64C4730B" w14:textId="77777777" w:rsidR="00C8140E" w:rsidRDefault="00C814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25A3DFB9"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7F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37F1">
            <w:rPr>
              <w:rStyle w:val="slostrnky"/>
              <w:noProof/>
            </w:rPr>
            <w:t>14</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234DCD58"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F6D41">
            <w:rPr>
              <w:rStyle w:val="Tun"/>
              <w:noProof/>
            </w:rPr>
            <w:t>„Implementace ETCS Regional Choceň - Litomyšl“</w:t>
          </w:r>
          <w:r w:rsidR="003F6D41">
            <w:rPr>
              <w:rStyle w:val="Tun"/>
              <w:noProof/>
            </w:rPr>
            <w:br/>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39191339"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3F6D41">
            <w:rPr>
              <w:rStyle w:val="Tun"/>
              <w:noProof/>
            </w:rPr>
            <w:t>„Implementace ETCS Regional Choceň - Litomyšl“</w:t>
          </w:r>
          <w:r w:rsidR="003F6D41">
            <w:rPr>
              <w:rStyle w:val="Tun"/>
              <w:noProof/>
            </w:rPr>
            <w:br/>
          </w:r>
          <w:r w:rsidRPr="00352421">
            <w:rPr>
              <w:rStyle w:val="Tun"/>
            </w:rPr>
            <w:fldChar w:fldCharType="end"/>
          </w:r>
        </w:p>
      </w:tc>
      <w:tc>
        <w:tcPr>
          <w:tcW w:w="851" w:type="dxa"/>
          <w:vAlign w:val="bottom"/>
        </w:tcPr>
        <w:p w14:paraId="6FC6B4C3" w14:textId="336B826E"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37F1">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37F1">
            <w:rPr>
              <w:rStyle w:val="slostrnky"/>
              <w:noProof/>
            </w:rPr>
            <w:t>14</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4F16D" w14:textId="77777777" w:rsidR="00C8140E" w:rsidRDefault="00C8140E" w:rsidP="00962258">
      <w:pPr>
        <w:spacing w:after="0" w:line="240" w:lineRule="auto"/>
      </w:pPr>
      <w:r>
        <w:separator/>
      </w:r>
    </w:p>
  </w:footnote>
  <w:footnote w:type="continuationSeparator" w:id="0">
    <w:p w14:paraId="6F9DD5A2" w14:textId="77777777" w:rsidR="00C8140E" w:rsidRDefault="00C814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2"/>
  </w:num>
  <w:num w:numId="3">
    <w:abstractNumId w:val="15"/>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14"/>
  </w:num>
  <w:num w:numId="9">
    <w:abstractNumId w:val="0"/>
  </w:num>
  <w:num w:numId="10">
    <w:abstractNumId w:val="5"/>
  </w:num>
  <w:num w:numId="11">
    <w:abstractNumId w:val="16"/>
  </w:num>
  <w:num w:numId="12">
    <w:abstractNumId w:val="0"/>
  </w:num>
  <w:num w:numId="13">
    <w:abstractNumId w:val="5"/>
  </w:num>
  <w:num w:numId="14">
    <w:abstractNumId w:val="5"/>
  </w:num>
  <w:num w:numId="15">
    <w:abstractNumId w:val="10"/>
  </w:num>
  <w:num w:numId="16">
    <w:abstractNumId w:val="10"/>
  </w:num>
  <w:num w:numId="17">
    <w:abstractNumId w:val="10"/>
  </w:num>
  <w:num w:numId="18">
    <w:abstractNumId w:val="12"/>
  </w:num>
  <w:num w:numId="19">
    <w:abstractNumId w:val="12"/>
  </w:num>
  <w:num w:numId="20">
    <w:abstractNumId w:val="12"/>
  </w:num>
  <w:num w:numId="21">
    <w:abstractNumId w:val="14"/>
  </w:num>
  <w:num w:numId="22">
    <w:abstractNumId w:val="0"/>
  </w:num>
  <w:num w:numId="23">
    <w:abstractNumId w:val="0"/>
  </w:num>
  <w:num w:numId="24">
    <w:abstractNumId w:val="5"/>
  </w:num>
  <w:num w:numId="25">
    <w:abstractNumId w:val="5"/>
  </w:num>
  <w:num w:numId="26">
    <w:abstractNumId w:val="16"/>
  </w:num>
  <w:num w:numId="27">
    <w:abstractNumId w:val="6"/>
  </w:num>
  <w:num w:numId="28">
    <w:abstractNumId w:val="0"/>
  </w:num>
  <w:num w:numId="29">
    <w:abstractNumId w:val="5"/>
  </w:num>
  <w:num w:numId="30">
    <w:abstractNumId w:val="5"/>
  </w:num>
  <w:num w:numId="31">
    <w:abstractNumId w:val="10"/>
  </w:num>
  <w:num w:numId="32">
    <w:abstractNumId w:val="10"/>
  </w:num>
  <w:num w:numId="33">
    <w:abstractNumId w:val="10"/>
  </w:num>
  <w:num w:numId="34">
    <w:abstractNumId w:val="10"/>
  </w:num>
  <w:num w:numId="35">
    <w:abstractNumId w:val="12"/>
  </w:num>
  <w:num w:numId="36">
    <w:abstractNumId w:val="12"/>
  </w:num>
  <w:num w:numId="37">
    <w:abstractNumId w:val="12"/>
  </w:num>
  <w:num w:numId="38">
    <w:abstractNumId w:val="12"/>
  </w:num>
  <w:num w:numId="39">
    <w:abstractNumId w:val="14"/>
  </w:num>
  <w:num w:numId="40">
    <w:abstractNumId w:val="0"/>
  </w:num>
  <w:num w:numId="41">
    <w:abstractNumId w:val="0"/>
  </w:num>
  <w:num w:numId="42">
    <w:abstractNumId w:val="5"/>
  </w:num>
  <w:num w:numId="43">
    <w:abstractNumId w:val="5"/>
  </w:num>
  <w:num w:numId="44">
    <w:abstractNumId w:val="16"/>
  </w:num>
  <w:num w:numId="45">
    <w:abstractNumId w:val="11"/>
  </w:num>
  <w:num w:numId="46">
    <w:abstractNumId w:val="13"/>
  </w:num>
  <w:num w:numId="47">
    <w:abstractNumId w:val="17"/>
  </w:num>
  <w:num w:numId="48">
    <w:abstractNumId w:val="17"/>
    <w:lvlOverride w:ilvl="0">
      <w:startOverride w:val="1"/>
    </w:lvlOverride>
  </w:num>
  <w:num w:numId="49">
    <w:abstractNumId w:val="9"/>
  </w:num>
  <w:num w:numId="50">
    <w:abstractNumId w:val="1"/>
  </w:num>
  <w:num w:numId="51">
    <w:abstractNumId w:val="3"/>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 w:numId="56">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769E6"/>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5FEC"/>
    <w:rsid w:val="00191F90"/>
    <w:rsid w:val="001A06CC"/>
    <w:rsid w:val="001B4678"/>
    <w:rsid w:val="001B4E74"/>
    <w:rsid w:val="001C524E"/>
    <w:rsid w:val="001C645F"/>
    <w:rsid w:val="001D3D61"/>
    <w:rsid w:val="001D5DC4"/>
    <w:rsid w:val="001E3C56"/>
    <w:rsid w:val="001E678E"/>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4BFF"/>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0C48"/>
    <w:rsid w:val="003C33F2"/>
    <w:rsid w:val="003D756E"/>
    <w:rsid w:val="003E420D"/>
    <w:rsid w:val="003E4C13"/>
    <w:rsid w:val="003F6D41"/>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60660"/>
    <w:rsid w:val="00463825"/>
    <w:rsid w:val="00464BA9"/>
    <w:rsid w:val="00465C0C"/>
    <w:rsid w:val="00465F51"/>
    <w:rsid w:val="004718E5"/>
    <w:rsid w:val="0047485E"/>
    <w:rsid w:val="00483969"/>
    <w:rsid w:val="00486107"/>
    <w:rsid w:val="00486178"/>
    <w:rsid w:val="00487010"/>
    <w:rsid w:val="00491827"/>
    <w:rsid w:val="004C1AD6"/>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E7E86"/>
    <w:rsid w:val="005F3E29"/>
    <w:rsid w:val="005F4BFD"/>
    <w:rsid w:val="00601A8C"/>
    <w:rsid w:val="00605DD8"/>
    <w:rsid w:val="0061012B"/>
    <w:rsid w:val="0061068E"/>
    <w:rsid w:val="006115D3"/>
    <w:rsid w:val="00616F3E"/>
    <w:rsid w:val="0063642B"/>
    <w:rsid w:val="00643B60"/>
    <w:rsid w:val="00647AC6"/>
    <w:rsid w:val="00653D93"/>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19E0"/>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437F1"/>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13B3"/>
    <w:rsid w:val="00B22106"/>
    <w:rsid w:val="00B222FB"/>
    <w:rsid w:val="00B466DF"/>
    <w:rsid w:val="00B5431A"/>
    <w:rsid w:val="00B60896"/>
    <w:rsid w:val="00B63D86"/>
    <w:rsid w:val="00B75EE1"/>
    <w:rsid w:val="00B77481"/>
    <w:rsid w:val="00B8518B"/>
    <w:rsid w:val="00B97CC3"/>
    <w:rsid w:val="00BA0EBA"/>
    <w:rsid w:val="00BC05F2"/>
    <w:rsid w:val="00BC06C4"/>
    <w:rsid w:val="00BD0C3C"/>
    <w:rsid w:val="00BD7E91"/>
    <w:rsid w:val="00BD7F0D"/>
    <w:rsid w:val="00BE7E8D"/>
    <w:rsid w:val="00BF47B2"/>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47D"/>
    <w:rsid w:val="00D246FC"/>
    <w:rsid w:val="00D30D72"/>
    <w:rsid w:val="00D32BA0"/>
    <w:rsid w:val="00D36EA0"/>
    <w:rsid w:val="00D4108E"/>
    <w:rsid w:val="00D435C3"/>
    <w:rsid w:val="00D51B47"/>
    <w:rsid w:val="00D6163D"/>
    <w:rsid w:val="00D76143"/>
    <w:rsid w:val="00D831A3"/>
    <w:rsid w:val="00D945EA"/>
    <w:rsid w:val="00D97BE3"/>
    <w:rsid w:val="00DA25A0"/>
    <w:rsid w:val="00DA3711"/>
    <w:rsid w:val="00DB47DA"/>
    <w:rsid w:val="00DB4DF1"/>
    <w:rsid w:val="00DB571C"/>
    <w:rsid w:val="00DC620E"/>
    <w:rsid w:val="00DD299A"/>
    <w:rsid w:val="00DD46F3"/>
    <w:rsid w:val="00DE56F2"/>
    <w:rsid w:val="00DF116D"/>
    <w:rsid w:val="00DF14DB"/>
    <w:rsid w:val="00E01C32"/>
    <w:rsid w:val="00E06EDE"/>
    <w:rsid w:val="00E16FF7"/>
    <w:rsid w:val="00E21A1B"/>
    <w:rsid w:val="00E26D68"/>
    <w:rsid w:val="00E33F32"/>
    <w:rsid w:val="00E37BAF"/>
    <w:rsid w:val="00E416CF"/>
    <w:rsid w:val="00E41EEA"/>
    <w:rsid w:val="00E44045"/>
    <w:rsid w:val="00E46253"/>
    <w:rsid w:val="00E618C4"/>
    <w:rsid w:val="00E634B0"/>
    <w:rsid w:val="00E71E4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77D"/>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paragraph" w:customStyle="1" w:styleId="Tabulka-7">
    <w:name w:val="_Tabulka-7"/>
    <w:basedOn w:val="Normln"/>
    <w:qFormat/>
    <w:rsid w:val="00E01C32"/>
    <w:pPr>
      <w:spacing w:before="20" w:after="20" w:line="240" w:lineRule="auto"/>
    </w:pPr>
    <w:rPr>
      <w:rFonts w:ascii="Verdana" w:hAnsi="Verdana"/>
      <w:sz w:val="14"/>
    </w:rPr>
  </w:style>
  <w:style w:type="character" w:customStyle="1" w:styleId="Nevyeenzmnka1">
    <w:name w:val="Nevyřešená zmínka1"/>
    <w:basedOn w:val="Standardnpsmoodstavce"/>
    <w:uiPriority w:val="99"/>
    <w:semiHidden/>
    <w:unhideWhenUsed/>
    <w:rsid w:val="00F95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yDa@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pletalovaL@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85034"/>
    <w:rsid w:val="00386457"/>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73106"/>
    <w:rsid w:val="007758DB"/>
    <w:rsid w:val="007A0A06"/>
    <w:rsid w:val="007D0BE3"/>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60C5E"/>
    <w:rsid w:val="00C62523"/>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http://schemas.microsoft.com/office/2006/documentManagement/type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B95AF7C6-7E1A-45E7-9390-4CFF569E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1135423-1B1F-4052-91F2-F10F383E8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14</Pages>
  <Words>5813</Words>
  <Characters>34299</Characters>
  <Application>Microsoft Office Word</Application>
  <DocSecurity>0</DocSecurity>
  <Lines>285</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2019-07-24T06:01:00Z</cp:lastPrinted>
  <dcterms:created xsi:type="dcterms:W3CDTF">2024-07-16T10:50:00Z</dcterms:created>
  <dcterms:modified xsi:type="dcterms:W3CDTF">2024-07-16T11:46:00Z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